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448"/>
        <w:gridCol w:w="5382"/>
        <w:gridCol w:w="2520"/>
      </w:tblGrid>
      <w:tr w:rsidR="00D2273E" w:rsidRPr="00D2273E" w:rsidTr="00891094">
        <w:tc>
          <w:tcPr>
            <w:tcW w:w="4158" w:type="dxa"/>
            <w:shd w:val="clear" w:color="auto" w:fill="BFBFBF" w:themeFill="background1" w:themeFillShade="BF"/>
            <w:vAlign w:val="center"/>
          </w:tcPr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</w:rPr>
              <w:t>Elements of Dispute Resolution</w:t>
            </w:r>
          </w:p>
        </w:tc>
        <w:tc>
          <w:tcPr>
            <w:tcW w:w="2448" w:type="dxa"/>
            <w:shd w:val="clear" w:color="auto" w:fill="BFBFBF" w:themeFill="background1" w:themeFillShade="BF"/>
            <w:vAlign w:val="center"/>
          </w:tcPr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</w:rPr>
              <w:t>Current Status</w:t>
            </w:r>
          </w:p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0968">
              <w:rPr>
                <w:rFonts w:asciiTheme="majorHAnsi" w:hAnsiTheme="majorHAnsi"/>
                <w:b/>
                <w:sz w:val="18"/>
                <w:szCs w:val="18"/>
              </w:rPr>
              <w:t>1 = nonexistent</w:t>
            </w:r>
          </w:p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  <w:sz w:val="18"/>
                <w:szCs w:val="18"/>
              </w:rPr>
              <w:t>4 = well-established</w:t>
            </w:r>
          </w:p>
        </w:tc>
        <w:tc>
          <w:tcPr>
            <w:tcW w:w="5382" w:type="dxa"/>
            <w:shd w:val="clear" w:color="auto" w:fill="BFBFBF" w:themeFill="background1" w:themeFillShade="BF"/>
            <w:vAlign w:val="center"/>
          </w:tcPr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</w:rPr>
              <w:t>Evidence/Comments/Descriptions/Examples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</w:rPr>
              <w:t>Relative Priority</w:t>
            </w:r>
          </w:p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50968">
              <w:rPr>
                <w:rFonts w:asciiTheme="majorHAnsi" w:hAnsiTheme="majorHAnsi"/>
                <w:b/>
                <w:sz w:val="18"/>
                <w:szCs w:val="18"/>
              </w:rPr>
              <w:t>1 = low/later</w:t>
            </w:r>
          </w:p>
          <w:p w:rsidR="00D2273E" w:rsidRPr="00150968" w:rsidRDefault="00D2273E" w:rsidP="00891094">
            <w:pPr>
              <w:jc w:val="center"/>
              <w:rPr>
                <w:rFonts w:asciiTheme="majorHAnsi" w:hAnsiTheme="majorHAnsi"/>
                <w:b/>
              </w:rPr>
            </w:pPr>
            <w:r w:rsidRPr="00150968">
              <w:rPr>
                <w:rFonts w:asciiTheme="majorHAnsi" w:hAnsiTheme="majorHAnsi"/>
                <w:b/>
                <w:sz w:val="18"/>
                <w:szCs w:val="18"/>
              </w:rPr>
              <w:t>4 = high/sooner</w:t>
            </w:r>
          </w:p>
        </w:tc>
      </w:tr>
      <w:tr w:rsidR="00812D0C" w:rsidRPr="00D2273E" w:rsidTr="00811E92">
        <w:trPr>
          <w:trHeight w:val="584"/>
        </w:trPr>
        <w:tc>
          <w:tcPr>
            <w:tcW w:w="14508" w:type="dxa"/>
            <w:gridSpan w:val="4"/>
            <w:shd w:val="clear" w:color="auto" w:fill="D6E3BC" w:themeFill="accent3" w:themeFillTint="66"/>
            <w:vAlign w:val="center"/>
          </w:tcPr>
          <w:p w:rsidR="00812D0C" w:rsidRPr="00891094" w:rsidRDefault="00812D0C" w:rsidP="00891094">
            <w:pPr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 w:rsidRPr="00891094">
              <w:rPr>
                <w:rFonts w:asciiTheme="majorHAnsi" w:hAnsiTheme="majorHAnsi"/>
                <w:b/>
                <w:i/>
              </w:rPr>
              <w:t>Systemwide</w:t>
            </w:r>
            <w:proofErr w:type="spellEnd"/>
            <w:r w:rsidRPr="00891094">
              <w:rPr>
                <w:rFonts w:asciiTheme="majorHAnsi" w:hAnsiTheme="majorHAnsi"/>
                <w:b/>
                <w:i/>
              </w:rPr>
              <w:t xml:space="preserve"> Oversight, Infrastructure &amp; Organization</w:t>
            </w:r>
          </w:p>
        </w:tc>
      </w:tr>
      <w:tr w:rsidR="00D2273E" w:rsidRPr="00D2273E" w:rsidTr="003525C4">
        <w:tc>
          <w:tcPr>
            <w:tcW w:w="4158" w:type="dxa"/>
            <w:shd w:val="clear" w:color="auto" w:fill="D6E3BC" w:themeFill="accent3" w:themeFillTint="66"/>
          </w:tcPr>
          <w:p w:rsidR="00D2273E" w:rsidRPr="00811E92" w:rsidRDefault="00812D0C" w:rsidP="00B74295">
            <w:pPr>
              <w:rPr>
                <w:rFonts w:asciiTheme="majorHAnsi" w:hAnsiTheme="majorHAnsi"/>
                <w:b/>
              </w:rPr>
            </w:pPr>
            <w:r w:rsidRPr="00811E92">
              <w:rPr>
                <w:rFonts w:asciiTheme="majorHAnsi" w:hAnsiTheme="majorHAnsi"/>
                <w:b/>
              </w:rPr>
              <w:t>Management</w:t>
            </w:r>
          </w:p>
          <w:p w:rsidR="00812D0C" w:rsidRPr="00D2273E" w:rsidRDefault="00812D0C" w:rsidP="00B74295">
            <w:pPr>
              <w:rPr>
                <w:rFonts w:asciiTheme="majorHAnsi" w:hAnsiTheme="majorHAnsi"/>
              </w:rPr>
            </w:pPr>
            <w:r w:rsidRPr="00812D0C">
              <w:rPr>
                <w:rFonts w:asciiTheme="majorHAnsi" w:hAnsiTheme="majorHAnsi"/>
              </w:rPr>
              <w:t xml:space="preserve">Dedicated staff regularly plan and/or review dispute resolution operations and performance. </w:t>
            </w:r>
            <w:r w:rsidRPr="00812D0C">
              <w:rPr>
                <w:rFonts w:asciiTheme="majorHAnsi" w:hAnsiTheme="majorHAnsi"/>
                <w:i/>
              </w:rPr>
              <w:t>Example: weekly, monthly, or quarterly review – perhaps in conjunction with leadership and stakeholders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D2273E" w:rsidRPr="00D2273E" w:rsidRDefault="00812D0C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r w:rsidR="00891094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2 </w:t>
            </w:r>
            <w:r w:rsidR="00891094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 xml:space="preserve">3 </w:t>
            </w:r>
            <w:r w:rsidR="00891094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382" w:type="dxa"/>
            <w:shd w:val="clear" w:color="auto" w:fill="EAF1DD" w:themeFill="accent3" w:themeFillTint="33"/>
          </w:tcPr>
          <w:p w:rsidR="00D2273E" w:rsidRPr="00D2273E" w:rsidRDefault="00D2273E" w:rsidP="00B74295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D2273E" w:rsidRPr="00D2273E" w:rsidTr="003525C4">
        <w:tc>
          <w:tcPr>
            <w:tcW w:w="4158" w:type="dxa"/>
            <w:shd w:val="clear" w:color="auto" w:fill="D6E3BC" w:themeFill="accent3" w:themeFillTint="66"/>
          </w:tcPr>
          <w:p w:rsidR="00812D0C" w:rsidRPr="00811E92" w:rsidRDefault="00812D0C" w:rsidP="00812D0C">
            <w:pPr>
              <w:rPr>
                <w:rFonts w:asciiTheme="majorHAnsi" w:hAnsiTheme="majorHAnsi"/>
                <w:b/>
              </w:rPr>
            </w:pPr>
            <w:r w:rsidRPr="00811E92">
              <w:rPr>
                <w:rFonts w:asciiTheme="majorHAnsi" w:hAnsiTheme="majorHAnsi"/>
                <w:b/>
              </w:rPr>
              <w:t>Data System</w:t>
            </w:r>
          </w:p>
          <w:p w:rsidR="00D2273E" w:rsidRPr="00D2273E" w:rsidRDefault="00812D0C" w:rsidP="00812D0C">
            <w:pPr>
              <w:rPr>
                <w:rFonts w:asciiTheme="majorHAnsi" w:hAnsiTheme="majorHAnsi"/>
              </w:rPr>
            </w:pPr>
            <w:r w:rsidRPr="00812D0C">
              <w:rPr>
                <w:rFonts w:asciiTheme="majorHAnsi" w:hAnsiTheme="majorHAnsi"/>
              </w:rPr>
              <w:t xml:space="preserve">Data are housed in a structure that allows analysis of activities and performance. </w:t>
            </w:r>
            <w:r w:rsidRPr="00812D0C">
              <w:rPr>
                <w:rFonts w:asciiTheme="majorHAnsi" w:hAnsiTheme="majorHAnsi"/>
                <w:i/>
              </w:rPr>
              <w:t>Examples: dispute resolution database, spreadsheet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382" w:type="dxa"/>
            <w:shd w:val="clear" w:color="auto" w:fill="EAF1DD" w:themeFill="accent3" w:themeFillTint="33"/>
          </w:tcPr>
          <w:p w:rsidR="00D2273E" w:rsidRPr="00D2273E" w:rsidRDefault="00D2273E" w:rsidP="00B74295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D2273E" w:rsidRPr="00D2273E" w:rsidTr="003525C4">
        <w:tc>
          <w:tcPr>
            <w:tcW w:w="4158" w:type="dxa"/>
            <w:shd w:val="clear" w:color="auto" w:fill="D6E3BC" w:themeFill="accent3" w:themeFillTint="66"/>
          </w:tcPr>
          <w:p w:rsidR="00812D0C" w:rsidRPr="00811E92" w:rsidRDefault="00812D0C" w:rsidP="00812D0C">
            <w:pPr>
              <w:rPr>
                <w:rFonts w:asciiTheme="majorHAnsi" w:hAnsiTheme="majorHAnsi"/>
                <w:b/>
              </w:rPr>
            </w:pPr>
            <w:r w:rsidRPr="00811E92">
              <w:rPr>
                <w:rFonts w:asciiTheme="majorHAnsi" w:hAnsiTheme="majorHAnsi"/>
                <w:b/>
              </w:rPr>
              <w:t>Resource Allocation</w:t>
            </w:r>
          </w:p>
          <w:p w:rsidR="00D2273E" w:rsidRPr="00D2273E" w:rsidRDefault="00812D0C" w:rsidP="00812D0C">
            <w:pPr>
              <w:rPr>
                <w:rFonts w:asciiTheme="majorHAnsi" w:hAnsiTheme="majorHAnsi"/>
              </w:rPr>
            </w:pPr>
            <w:r w:rsidRPr="00812D0C">
              <w:rPr>
                <w:rFonts w:asciiTheme="majorHAnsi" w:hAnsiTheme="majorHAnsi"/>
              </w:rPr>
              <w:t xml:space="preserve">Fiscal and human resources (including state staff, mediators, and hearing officers) are available to implement dispute resolution options. </w:t>
            </w:r>
            <w:r w:rsidRPr="00812D0C">
              <w:rPr>
                <w:rFonts w:asciiTheme="majorHAnsi" w:hAnsiTheme="majorHAnsi"/>
                <w:i/>
              </w:rPr>
              <w:t>Examples: funding, partnerships with Part B DR system, dedicated staff/FTE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382" w:type="dxa"/>
            <w:shd w:val="clear" w:color="auto" w:fill="EAF1DD" w:themeFill="accent3" w:themeFillTint="33"/>
          </w:tcPr>
          <w:p w:rsidR="00D2273E" w:rsidRPr="00D2273E" w:rsidRDefault="00D2273E" w:rsidP="00B74295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D2273E" w:rsidRPr="00D2273E" w:rsidTr="003525C4">
        <w:tc>
          <w:tcPr>
            <w:tcW w:w="4158" w:type="dxa"/>
            <w:shd w:val="clear" w:color="auto" w:fill="D6E3BC" w:themeFill="accent3" w:themeFillTint="66"/>
          </w:tcPr>
          <w:p w:rsidR="00812D0C" w:rsidRPr="00811E92" w:rsidRDefault="00812D0C" w:rsidP="00812D0C">
            <w:pPr>
              <w:rPr>
                <w:rFonts w:asciiTheme="majorHAnsi" w:hAnsiTheme="majorHAnsi"/>
                <w:b/>
              </w:rPr>
            </w:pPr>
            <w:r w:rsidRPr="00811E92">
              <w:rPr>
                <w:rFonts w:asciiTheme="majorHAnsi" w:hAnsiTheme="majorHAnsi"/>
                <w:b/>
              </w:rPr>
              <w:t>Stakeholder Involvement</w:t>
            </w:r>
          </w:p>
          <w:p w:rsidR="00D2273E" w:rsidRPr="00D2273E" w:rsidRDefault="00812D0C" w:rsidP="00812D0C">
            <w:pPr>
              <w:rPr>
                <w:rFonts w:asciiTheme="majorHAnsi" w:hAnsiTheme="majorHAnsi"/>
              </w:rPr>
            </w:pPr>
            <w:r w:rsidRPr="00812D0C">
              <w:rPr>
                <w:rFonts w:asciiTheme="majorHAnsi" w:hAnsiTheme="majorHAnsi"/>
              </w:rPr>
              <w:t xml:space="preserve">Stakeholders are involved in planning, promotion, training, evaluation, and improvement activities. </w:t>
            </w:r>
            <w:r w:rsidRPr="00812D0C">
              <w:rPr>
                <w:rFonts w:asciiTheme="majorHAnsi" w:hAnsiTheme="majorHAnsi"/>
                <w:i/>
              </w:rPr>
              <w:t>Examples: parents, EI providers, mediators, hearing officers, and others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382" w:type="dxa"/>
            <w:shd w:val="clear" w:color="auto" w:fill="EAF1DD" w:themeFill="accent3" w:themeFillTint="33"/>
          </w:tcPr>
          <w:p w:rsidR="00D2273E" w:rsidRPr="00D2273E" w:rsidRDefault="00D2273E" w:rsidP="00B74295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D2273E" w:rsidRPr="00D2273E" w:rsidTr="003525C4">
        <w:tc>
          <w:tcPr>
            <w:tcW w:w="4158" w:type="dxa"/>
            <w:shd w:val="clear" w:color="auto" w:fill="D6E3BC" w:themeFill="accent3" w:themeFillTint="66"/>
          </w:tcPr>
          <w:p w:rsidR="00812D0C" w:rsidRPr="00811E92" w:rsidRDefault="00812D0C" w:rsidP="00812D0C">
            <w:pPr>
              <w:rPr>
                <w:rFonts w:asciiTheme="majorHAnsi" w:hAnsiTheme="majorHAnsi"/>
                <w:b/>
              </w:rPr>
            </w:pPr>
            <w:r w:rsidRPr="00811E92">
              <w:rPr>
                <w:rFonts w:asciiTheme="majorHAnsi" w:hAnsiTheme="majorHAnsi"/>
                <w:b/>
              </w:rPr>
              <w:t>Policy &amp; Guidance</w:t>
            </w:r>
          </w:p>
          <w:p w:rsidR="00D2273E" w:rsidRPr="00D2273E" w:rsidRDefault="00812D0C" w:rsidP="00812D0C">
            <w:pPr>
              <w:rPr>
                <w:rFonts w:asciiTheme="majorHAnsi" w:hAnsiTheme="majorHAnsi"/>
              </w:rPr>
            </w:pPr>
            <w:r w:rsidRPr="00812D0C">
              <w:rPr>
                <w:rFonts w:asciiTheme="majorHAnsi" w:hAnsiTheme="majorHAnsi"/>
              </w:rPr>
              <w:t xml:space="preserve">Policies and procedures that align with federal and state regulations have been established for the administration of dispute resolution options. </w:t>
            </w:r>
            <w:r w:rsidRPr="00812D0C">
              <w:rPr>
                <w:rFonts w:asciiTheme="majorHAnsi" w:hAnsiTheme="majorHAnsi"/>
                <w:i/>
              </w:rPr>
              <w:t>Example: operational procedures</w:t>
            </w:r>
          </w:p>
        </w:tc>
        <w:tc>
          <w:tcPr>
            <w:tcW w:w="2448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382" w:type="dxa"/>
            <w:shd w:val="clear" w:color="auto" w:fill="EAF1DD" w:themeFill="accent3" w:themeFillTint="33"/>
          </w:tcPr>
          <w:p w:rsidR="00D2273E" w:rsidRPr="00D2273E" w:rsidRDefault="00D2273E" w:rsidP="00B74295">
            <w:pPr>
              <w:rPr>
                <w:rFonts w:asciiTheme="majorHAnsi" w:hAnsiTheme="majorHAnsi"/>
              </w:rPr>
            </w:pP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:rsidR="00D2273E" w:rsidRPr="00D2273E" w:rsidRDefault="00891094" w:rsidP="0089109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</w:tbl>
    <w:p w:rsidR="003525C4" w:rsidRDefault="003525C4" w:rsidP="00B74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2934"/>
        <w:gridCol w:w="5400"/>
        <w:gridCol w:w="2628"/>
      </w:tblGrid>
      <w:tr w:rsidR="00355E13" w:rsidTr="00355E13">
        <w:trPr>
          <w:trHeight w:val="576"/>
        </w:trPr>
        <w:tc>
          <w:tcPr>
            <w:tcW w:w="14616" w:type="dxa"/>
            <w:gridSpan w:val="4"/>
            <w:shd w:val="clear" w:color="auto" w:fill="FBD4B4" w:themeFill="accent6" w:themeFillTint="66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 w:rsidRPr="00355E13">
              <w:rPr>
                <w:rFonts w:ascii="Cambria" w:hAnsi="Cambria"/>
                <w:b/>
                <w:i/>
              </w:rPr>
              <w:t>Program Access &amp; Delivery</w:t>
            </w:r>
          </w:p>
        </w:tc>
      </w:tr>
      <w:tr w:rsidR="00355E13" w:rsidTr="00CE3D4E">
        <w:tc>
          <w:tcPr>
            <w:tcW w:w="3654" w:type="dxa"/>
            <w:shd w:val="clear" w:color="auto" w:fill="FBD4B4" w:themeFill="accent6" w:themeFillTint="66"/>
          </w:tcPr>
          <w:p w:rsidR="00355E13" w:rsidRPr="00355E13" w:rsidRDefault="00355E13" w:rsidP="00355E13">
            <w:pPr>
              <w:rPr>
                <w:rFonts w:ascii="Cambria" w:hAnsi="Cambria"/>
                <w:b/>
              </w:rPr>
            </w:pPr>
            <w:r w:rsidRPr="00355E13">
              <w:rPr>
                <w:rFonts w:ascii="Cambria" w:hAnsi="Cambria"/>
                <w:b/>
              </w:rPr>
              <w:t>Intake Process</w:t>
            </w:r>
          </w:p>
          <w:p w:rsidR="00355E13" w:rsidRPr="00355E13" w:rsidRDefault="00355E13" w:rsidP="00355E13">
            <w:pPr>
              <w:rPr>
                <w:rFonts w:ascii="Cambria" w:hAnsi="Cambria"/>
              </w:rPr>
            </w:pPr>
            <w:r w:rsidRPr="00355E13">
              <w:rPr>
                <w:rFonts w:ascii="Cambria" w:hAnsi="Cambria"/>
              </w:rPr>
              <w:t xml:space="preserve">Available dispute resolution processes, procedures, materials, and forms are understandable and not burdensome for intended audiences. </w:t>
            </w:r>
            <w:r w:rsidR="00B82FB1">
              <w:rPr>
                <w:rFonts w:ascii="Cambria" w:hAnsi="Cambria"/>
                <w:i/>
              </w:rPr>
              <w:t>Examples:</w:t>
            </w:r>
            <w:r w:rsidRPr="00B82FB1">
              <w:rPr>
                <w:rFonts w:ascii="Cambria" w:hAnsi="Cambria"/>
                <w:i/>
              </w:rPr>
              <w:t xml:space="preserve"> toll-free number, intake coordinator, dedicated webpage, templates, form letters</w:t>
            </w:r>
          </w:p>
        </w:tc>
        <w:tc>
          <w:tcPr>
            <w:tcW w:w="2934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355E13" w:rsidRPr="00355E13" w:rsidRDefault="00355E13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355E13" w:rsidTr="00CE3D4E">
        <w:tc>
          <w:tcPr>
            <w:tcW w:w="3654" w:type="dxa"/>
            <w:shd w:val="clear" w:color="auto" w:fill="FBD4B4" w:themeFill="accent6" w:themeFillTint="66"/>
          </w:tcPr>
          <w:p w:rsidR="00355E13" w:rsidRPr="00355E13" w:rsidRDefault="00355E13" w:rsidP="00355E13">
            <w:pPr>
              <w:rPr>
                <w:rFonts w:ascii="Cambria" w:hAnsi="Cambria"/>
                <w:b/>
              </w:rPr>
            </w:pPr>
            <w:r w:rsidRPr="00355E13">
              <w:rPr>
                <w:rFonts w:ascii="Cambria" w:hAnsi="Cambria"/>
                <w:b/>
              </w:rPr>
              <w:t>Case Management</w:t>
            </w:r>
          </w:p>
          <w:p w:rsidR="00355E13" w:rsidRPr="00355E13" w:rsidRDefault="00355E13" w:rsidP="00355E13">
            <w:pPr>
              <w:rPr>
                <w:rFonts w:ascii="Cambria" w:hAnsi="Cambria"/>
              </w:rPr>
            </w:pPr>
            <w:r w:rsidRPr="00355E13">
              <w:rPr>
                <w:rFonts w:ascii="Cambria" w:hAnsi="Cambria"/>
              </w:rPr>
              <w:t xml:space="preserve">Cases are managed in a timely, consistent, compliant, and effective manner. </w:t>
            </w:r>
            <w:r w:rsidRPr="00B82FB1">
              <w:rPr>
                <w:rFonts w:ascii="Cambria" w:hAnsi="Cambria"/>
                <w:i/>
              </w:rPr>
              <w:t>Examples: timeline standards, hearing officer or mediator assignment</w:t>
            </w:r>
          </w:p>
        </w:tc>
        <w:tc>
          <w:tcPr>
            <w:tcW w:w="2934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355E13" w:rsidRPr="00355E13" w:rsidRDefault="00355E13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355E13" w:rsidTr="00CE3D4E">
        <w:tc>
          <w:tcPr>
            <w:tcW w:w="3654" w:type="dxa"/>
            <w:shd w:val="clear" w:color="auto" w:fill="FBD4B4" w:themeFill="accent6" w:themeFillTint="66"/>
          </w:tcPr>
          <w:p w:rsidR="00355E13" w:rsidRPr="00355E13" w:rsidRDefault="00355E13" w:rsidP="00355E13">
            <w:pPr>
              <w:rPr>
                <w:rFonts w:ascii="Cambria" w:hAnsi="Cambria"/>
                <w:b/>
              </w:rPr>
            </w:pPr>
            <w:r w:rsidRPr="00355E13">
              <w:rPr>
                <w:rFonts w:ascii="Cambria" w:hAnsi="Cambria"/>
                <w:b/>
              </w:rPr>
              <w:t>Technical Assistance</w:t>
            </w:r>
          </w:p>
          <w:p w:rsidR="00355E13" w:rsidRPr="00355E13" w:rsidRDefault="00355E13" w:rsidP="00355E13">
            <w:pPr>
              <w:rPr>
                <w:rFonts w:ascii="Cambria" w:hAnsi="Cambria"/>
              </w:rPr>
            </w:pPr>
            <w:r w:rsidRPr="00355E13">
              <w:rPr>
                <w:rFonts w:ascii="Cambria" w:hAnsi="Cambria"/>
              </w:rPr>
              <w:t>Information is shared on the appropriate uses of various dispute resolution processes available and how to access them</w:t>
            </w:r>
            <w:r w:rsidRPr="00B82FB1">
              <w:rPr>
                <w:rFonts w:ascii="Cambria" w:hAnsi="Cambria"/>
              </w:rPr>
              <w:t xml:space="preserve">. </w:t>
            </w:r>
            <w:r w:rsidRPr="00B82FB1">
              <w:rPr>
                <w:rFonts w:ascii="Cambria" w:hAnsi="Cambria"/>
                <w:i/>
              </w:rPr>
              <w:t>Examples: trouble-shooting, Q&amp;A</w:t>
            </w:r>
          </w:p>
        </w:tc>
        <w:tc>
          <w:tcPr>
            <w:tcW w:w="2934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355E13" w:rsidRPr="00355E13" w:rsidRDefault="00355E13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355E13" w:rsidTr="00CE3D4E">
        <w:tc>
          <w:tcPr>
            <w:tcW w:w="3654" w:type="dxa"/>
            <w:shd w:val="clear" w:color="auto" w:fill="FBD4B4" w:themeFill="accent6" w:themeFillTint="66"/>
          </w:tcPr>
          <w:p w:rsidR="00355E13" w:rsidRPr="00355E13" w:rsidRDefault="00355E13" w:rsidP="00355E13">
            <w:pPr>
              <w:rPr>
                <w:rFonts w:ascii="Cambria" w:hAnsi="Cambria"/>
                <w:b/>
              </w:rPr>
            </w:pPr>
            <w:r w:rsidRPr="00355E13">
              <w:rPr>
                <w:rFonts w:ascii="Cambria" w:hAnsi="Cambria"/>
                <w:b/>
              </w:rPr>
              <w:t>Participant Preparation</w:t>
            </w:r>
          </w:p>
          <w:p w:rsidR="00355E13" w:rsidRPr="00355E13" w:rsidRDefault="00355E13" w:rsidP="00355E13">
            <w:pPr>
              <w:rPr>
                <w:rFonts w:ascii="Cambria" w:hAnsi="Cambria"/>
              </w:rPr>
            </w:pPr>
            <w:r w:rsidRPr="00355E13">
              <w:rPr>
                <w:rFonts w:ascii="Cambria" w:hAnsi="Cambria"/>
              </w:rPr>
              <w:t xml:space="preserve">Resources and supports are available on how to prepare for each dispute resolution process. </w:t>
            </w:r>
            <w:r w:rsidR="00B82FB1">
              <w:rPr>
                <w:rFonts w:ascii="Cambria" w:hAnsi="Cambria"/>
                <w:i/>
              </w:rPr>
              <w:t xml:space="preserve">Examples: </w:t>
            </w:r>
            <w:r w:rsidRPr="00B82FB1">
              <w:rPr>
                <w:rFonts w:ascii="Cambria" w:hAnsi="Cambria"/>
                <w:i/>
              </w:rPr>
              <w:t>brochures, checklists, coaching</w:t>
            </w:r>
          </w:p>
        </w:tc>
        <w:tc>
          <w:tcPr>
            <w:tcW w:w="2934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355E13" w:rsidRPr="00355E13" w:rsidRDefault="00355E13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355E13" w:rsidTr="00CE3D4E">
        <w:tc>
          <w:tcPr>
            <w:tcW w:w="3654" w:type="dxa"/>
            <w:shd w:val="clear" w:color="auto" w:fill="FBD4B4" w:themeFill="accent6" w:themeFillTint="66"/>
          </w:tcPr>
          <w:p w:rsidR="00355E13" w:rsidRPr="00355E13" w:rsidRDefault="00355E13" w:rsidP="00355E13">
            <w:pPr>
              <w:rPr>
                <w:rFonts w:ascii="Cambria" w:hAnsi="Cambria"/>
                <w:b/>
              </w:rPr>
            </w:pPr>
            <w:r w:rsidRPr="00355E13">
              <w:rPr>
                <w:rFonts w:ascii="Cambria" w:hAnsi="Cambria"/>
                <w:b/>
              </w:rPr>
              <w:t xml:space="preserve">Diversity and Inclusion </w:t>
            </w:r>
          </w:p>
          <w:p w:rsidR="00355E13" w:rsidRPr="00355E13" w:rsidRDefault="00355E13" w:rsidP="00355E13">
            <w:pPr>
              <w:rPr>
                <w:rFonts w:ascii="Cambria" w:hAnsi="Cambria"/>
              </w:rPr>
            </w:pPr>
            <w:r w:rsidRPr="00355E13">
              <w:rPr>
                <w:rFonts w:ascii="Cambria" w:hAnsi="Cambria"/>
              </w:rPr>
              <w:t>Efforts are made to understand the interests and experiences of non-dominant groups and how they are imp</w:t>
            </w:r>
            <w:r w:rsidR="00B82FB1">
              <w:rPr>
                <w:rFonts w:ascii="Cambria" w:hAnsi="Cambria"/>
              </w:rPr>
              <w:t xml:space="preserve">acted by the system. </w:t>
            </w:r>
            <w:r w:rsidR="00B82FB1" w:rsidRPr="00B82FB1">
              <w:rPr>
                <w:rFonts w:ascii="Cambria" w:hAnsi="Cambria"/>
                <w:i/>
              </w:rPr>
              <w:t xml:space="preserve">Examples: </w:t>
            </w:r>
            <w:r w:rsidRPr="00B82FB1">
              <w:rPr>
                <w:rFonts w:ascii="Cambria" w:hAnsi="Cambria"/>
                <w:i/>
              </w:rPr>
              <w:t>cultural liaison, focus groups</w:t>
            </w:r>
          </w:p>
        </w:tc>
        <w:tc>
          <w:tcPr>
            <w:tcW w:w="2934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355E13" w:rsidRPr="00355E13" w:rsidRDefault="00355E13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DE9D9" w:themeFill="accent6" w:themeFillTint="33"/>
            <w:vAlign w:val="center"/>
          </w:tcPr>
          <w:p w:rsidR="00355E13" w:rsidRPr="00355E13" w:rsidRDefault="00355E13" w:rsidP="00355E13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</w:tbl>
    <w:p w:rsidR="003525C4" w:rsidRDefault="003525C4" w:rsidP="00B74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2934"/>
        <w:gridCol w:w="5400"/>
        <w:gridCol w:w="2628"/>
      </w:tblGrid>
      <w:tr w:rsidR="00B82FB1" w:rsidRPr="00B82FB1" w:rsidTr="00B82FB1">
        <w:trPr>
          <w:trHeight w:val="576"/>
        </w:trPr>
        <w:tc>
          <w:tcPr>
            <w:tcW w:w="14616" w:type="dxa"/>
            <w:gridSpan w:val="4"/>
            <w:shd w:val="clear" w:color="auto" w:fill="B8CCE4" w:themeFill="accent1" w:themeFillTint="66"/>
            <w:vAlign w:val="center"/>
          </w:tcPr>
          <w:p w:rsidR="00B82FB1" w:rsidRPr="00B82FB1" w:rsidRDefault="003525C4" w:rsidP="00B82FB1">
            <w:pPr>
              <w:jc w:val="center"/>
              <w:rPr>
                <w:rFonts w:ascii="Cambria" w:hAnsi="Cambria"/>
                <w:i/>
              </w:rPr>
            </w:pPr>
            <w:r>
              <w:lastRenderedPageBreak/>
              <w:br w:type="page"/>
            </w:r>
            <w:r w:rsidR="00B82FB1" w:rsidRPr="00B82FB1">
              <w:rPr>
                <w:rFonts w:ascii="Cambria" w:hAnsi="Cambria"/>
                <w:b/>
                <w:i/>
              </w:rPr>
              <w:t>Standards &amp; Professional Development</w:t>
            </w:r>
          </w:p>
        </w:tc>
      </w:tr>
      <w:tr w:rsidR="00B82FB1" w:rsidRPr="00B82FB1" w:rsidTr="00B82FB1">
        <w:tc>
          <w:tcPr>
            <w:tcW w:w="3654" w:type="dxa"/>
            <w:shd w:val="clear" w:color="auto" w:fill="B8CCE4" w:themeFill="accent1" w:themeFillTint="66"/>
          </w:tcPr>
          <w:p w:rsidR="00B82FB1" w:rsidRPr="00B82FB1" w:rsidRDefault="00B82FB1" w:rsidP="00B82FB1">
            <w:pPr>
              <w:rPr>
                <w:rFonts w:ascii="Cambria" w:hAnsi="Cambria"/>
                <w:b/>
              </w:rPr>
            </w:pPr>
            <w:r w:rsidRPr="00B82FB1">
              <w:rPr>
                <w:rFonts w:ascii="Cambria" w:hAnsi="Cambria"/>
                <w:b/>
              </w:rPr>
              <w:t>Qualifications &amp; Selection</w:t>
            </w:r>
          </w:p>
          <w:p w:rsidR="00B82FB1" w:rsidRPr="00B82FB1" w:rsidRDefault="00B82FB1" w:rsidP="00B82FB1">
            <w:pPr>
              <w:rPr>
                <w:rFonts w:ascii="Cambria" w:hAnsi="Cambria"/>
              </w:rPr>
            </w:pPr>
            <w:r w:rsidRPr="00B82FB1">
              <w:rPr>
                <w:rFonts w:ascii="Cambria" w:hAnsi="Cambria"/>
              </w:rPr>
              <w:t>Requirements (e.g., relevant experience, education, and training) for dispute resolution program personnel, mediators, and hearing officers are defined and used during the recruiting and selection proc</w:t>
            </w:r>
            <w:r>
              <w:rPr>
                <w:rFonts w:ascii="Cambria" w:hAnsi="Cambria"/>
              </w:rPr>
              <w:t xml:space="preserve">ess. </w:t>
            </w:r>
            <w:r w:rsidRPr="00B82FB1">
              <w:rPr>
                <w:rFonts w:ascii="Cambria" w:hAnsi="Cambria"/>
                <w:i/>
              </w:rPr>
              <w:t>Example: job descriptions</w:t>
            </w:r>
          </w:p>
        </w:tc>
        <w:tc>
          <w:tcPr>
            <w:tcW w:w="2934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:rsidR="00B82FB1" w:rsidRPr="00B82FB1" w:rsidRDefault="00B82FB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B82FB1" w:rsidRPr="00B82FB1" w:rsidTr="00B82FB1">
        <w:tc>
          <w:tcPr>
            <w:tcW w:w="3654" w:type="dxa"/>
            <w:shd w:val="clear" w:color="auto" w:fill="B8CCE4" w:themeFill="accent1" w:themeFillTint="66"/>
          </w:tcPr>
          <w:p w:rsidR="00B82FB1" w:rsidRPr="00B82FB1" w:rsidRDefault="00B82FB1" w:rsidP="00B82FB1">
            <w:pPr>
              <w:rPr>
                <w:rFonts w:ascii="Cambria" w:hAnsi="Cambria"/>
                <w:b/>
              </w:rPr>
            </w:pPr>
            <w:r w:rsidRPr="00B82FB1">
              <w:rPr>
                <w:rFonts w:ascii="Cambria" w:hAnsi="Cambria"/>
                <w:b/>
              </w:rPr>
              <w:t>Standards of Practice</w:t>
            </w:r>
          </w:p>
          <w:p w:rsidR="00B82FB1" w:rsidRPr="00B82FB1" w:rsidRDefault="00B82FB1" w:rsidP="00B82FB1">
            <w:pPr>
              <w:rPr>
                <w:rFonts w:ascii="Cambria" w:hAnsi="Cambria"/>
              </w:rPr>
            </w:pPr>
            <w:r w:rsidRPr="00B82FB1">
              <w:rPr>
                <w:rFonts w:ascii="Cambria" w:hAnsi="Cambria"/>
              </w:rPr>
              <w:t>There are clearly articulated expectations of practice for dispute resolution personnel, mediators and hearing officers</w:t>
            </w:r>
            <w:r w:rsidRPr="00B82FB1">
              <w:rPr>
                <w:rFonts w:ascii="Cambria" w:hAnsi="Cambria"/>
                <w:i/>
              </w:rPr>
              <w:t>. Examples: model expectations, contractual terms</w:t>
            </w:r>
          </w:p>
        </w:tc>
        <w:tc>
          <w:tcPr>
            <w:tcW w:w="2934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:rsidR="00B82FB1" w:rsidRPr="00B82FB1" w:rsidRDefault="00B82FB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B82FB1" w:rsidRPr="00B82FB1" w:rsidTr="00B82FB1">
        <w:tc>
          <w:tcPr>
            <w:tcW w:w="3654" w:type="dxa"/>
            <w:shd w:val="clear" w:color="auto" w:fill="B8CCE4" w:themeFill="accent1" w:themeFillTint="66"/>
          </w:tcPr>
          <w:p w:rsidR="00B82FB1" w:rsidRPr="00B82FB1" w:rsidRDefault="00B82FB1" w:rsidP="00B82FB1">
            <w:pPr>
              <w:rPr>
                <w:rFonts w:ascii="Cambria" w:hAnsi="Cambria"/>
                <w:b/>
              </w:rPr>
            </w:pPr>
            <w:r w:rsidRPr="00B82FB1">
              <w:rPr>
                <w:rFonts w:ascii="Cambria" w:hAnsi="Cambria"/>
                <w:b/>
              </w:rPr>
              <w:t>Training &amp; Professional Development</w:t>
            </w:r>
          </w:p>
          <w:p w:rsidR="00B82FB1" w:rsidRPr="00B82FB1" w:rsidRDefault="00B82FB1" w:rsidP="00B82FB1">
            <w:pPr>
              <w:rPr>
                <w:rFonts w:ascii="Cambria" w:hAnsi="Cambria"/>
              </w:rPr>
            </w:pPr>
            <w:r w:rsidRPr="00B82FB1">
              <w:rPr>
                <w:rFonts w:ascii="Cambria" w:hAnsi="Cambria"/>
              </w:rPr>
              <w:t xml:space="preserve">Personnel, mediators, and hearing officers are provided initial training and continuing professional development opportunities in alignment with articulated standards of practice. </w:t>
            </w:r>
            <w:r w:rsidRPr="00B82FB1">
              <w:rPr>
                <w:rFonts w:ascii="Cambria" w:hAnsi="Cambria"/>
                <w:i/>
              </w:rPr>
              <w:t>Examples: in-person training, webinars, conferences</w:t>
            </w:r>
          </w:p>
        </w:tc>
        <w:tc>
          <w:tcPr>
            <w:tcW w:w="2934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:rsidR="00B82FB1" w:rsidRPr="00B82FB1" w:rsidRDefault="00B82FB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  <w:tr w:rsidR="00B82FB1" w:rsidRPr="00B82FB1" w:rsidTr="00B82FB1">
        <w:tc>
          <w:tcPr>
            <w:tcW w:w="3654" w:type="dxa"/>
            <w:shd w:val="clear" w:color="auto" w:fill="B8CCE4" w:themeFill="accent1" w:themeFillTint="66"/>
          </w:tcPr>
          <w:p w:rsidR="00B82FB1" w:rsidRPr="00B82FB1" w:rsidRDefault="00B82FB1" w:rsidP="00B82FB1">
            <w:pPr>
              <w:rPr>
                <w:rFonts w:ascii="Cambria" w:hAnsi="Cambria"/>
                <w:b/>
              </w:rPr>
            </w:pPr>
            <w:r w:rsidRPr="00B82FB1">
              <w:rPr>
                <w:rFonts w:ascii="Cambria" w:hAnsi="Cambria"/>
                <w:b/>
              </w:rPr>
              <w:t>Training &amp; Professional Development for Service Coordinators and Direct Service Providers</w:t>
            </w:r>
          </w:p>
          <w:p w:rsidR="00B82FB1" w:rsidRPr="00B82FB1" w:rsidRDefault="00B82FB1" w:rsidP="00B82FB1">
            <w:pPr>
              <w:rPr>
                <w:rFonts w:ascii="Cambria" w:hAnsi="Cambria"/>
              </w:rPr>
            </w:pPr>
            <w:r w:rsidRPr="00B82FB1">
              <w:rPr>
                <w:rFonts w:ascii="Cambria" w:hAnsi="Cambria"/>
              </w:rPr>
              <w:t>Local personnel are provided initial training and continuing professional development opportunities related to procedural safeguards (</w:t>
            </w:r>
            <w:r>
              <w:rPr>
                <w:rFonts w:ascii="Cambria" w:hAnsi="Cambria"/>
              </w:rPr>
              <w:t xml:space="preserve">including dispute resolution). </w:t>
            </w:r>
            <w:r w:rsidRPr="00B82FB1">
              <w:rPr>
                <w:rFonts w:ascii="Cambria" w:hAnsi="Cambria"/>
                <w:i/>
              </w:rPr>
              <w:t>Examples: in-person training, webinars, conferences</w:t>
            </w:r>
          </w:p>
        </w:tc>
        <w:tc>
          <w:tcPr>
            <w:tcW w:w="2934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  <w:tc>
          <w:tcPr>
            <w:tcW w:w="5400" w:type="dxa"/>
            <w:shd w:val="clear" w:color="auto" w:fill="DBE5F1" w:themeFill="accent1" w:themeFillTint="33"/>
          </w:tcPr>
          <w:p w:rsidR="00B82FB1" w:rsidRPr="00B82FB1" w:rsidRDefault="00B82FB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BE5F1" w:themeFill="accent1" w:themeFillTint="33"/>
            <w:vAlign w:val="center"/>
          </w:tcPr>
          <w:p w:rsidR="00B82FB1" w:rsidRPr="00B82FB1" w:rsidRDefault="00B82FB1" w:rsidP="00B82FB1">
            <w:pPr>
              <w:jc w:val="center"/>
              <w:rPr>
                <w:rFonts w:ascii="Cambria" w:hAnsi="Cambria"/>
              </w:rPr>
            </w:pPr>
            <w:r>
              <w:rPr>
                <w:rFonts w:asciiTheme="majorHAnsi" w:hAnsiTheme="majorHAnsi"/>
              </w:rPr>
              <w:t>1     2     3     4</w:t>
            </w:r>
          </w:p>
        </w:tc>
      </w:tr>
    </w:tbl>
    <w:p w:rsidR="00A2207C" w:rsidRDefault="00AE0D62" w:rsidP="00B742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2934"/>
        <w:gridCol w:w="5400"/>
        <w:gridCol w:w="2628"/>
      </w:tblGrid>
      <w:tr w:rsidR="00710961" w:rsidRPr="00710961" w:rsidTr="00710961">
        <w:trPr>
          <w:trHeight w:val="576"/>
        </w:trPr>
        <w:tc>
          <w:tcPr>
            <w:tcW w:w="14616" w:type="dxa"/>
            <w:gridSpan w:val="4"/>
            <w:shd w:val="clear" w:color="auto" w:fill="E5B8B7" w:themeFill="accent2" w:themeFillTint="66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  <w:b/>
                <w:i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710961">
              <w:rPr>
                <w:rFonts w:ascii="Cambria" w:hAnsi="Cambria"/>
                <w:b/>
                <w:i/>
              </w:rPr>
              <w:t>Public Awareness &amp; Outreach</w:t>
            </w:r>
          </w:p>
        </w:tc>
      </w:tr>
      <w:tr w:rsidR="00710961" w:rsidRPr="00710961" w:rsidTr="00710961">
        <w:tc>
          <w:tcPr>
            <w:tcW w:w="3654" w:type="dxa"/>
            <w:shd w:val="clear" w:color="auto" w:fill="E5B8B7" w:themeFill="accent2" w:themeFillTint="66"/>
          </w:tcPr>
          <w:p w:rsidR="00710961" w:rsidRPr="00710961" w:rsidRDefault="00710961" w:rsidP="00710961">
            <w:pPr>
              <w:rPr>
                <w:rFonts w:ascii="Cambria" w:hAnsi="Cambria"/>
                <w:b/>
              </w:rPr>
            </w:pPr>
            <w:r w:rsidRPr="00710961">
              <w:rPr>
                <w:rFonts w:ascii="Cambria" w:hAnsi="Cambria"/>
                <w:b/>
              </w:rPr>
              <w:t>Messaging</w:t>
            </w:r>
          </w:p>
          <w:p w:rsidR="00710961" w:rsidRPr="00710961" w:rsidRDefault="00710961" w:rsidP="00710961">
            <w:pPr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 xml:space="preserve">Clear and consistent messaging is developed, with cultural considerations, to explain the dispute resolution system and each of the available processes. </w:t>
            </w:r>
            <w:r w:rsidRPr="009A61B5">
              <w:rPr>
                <w:rFonts w:ascii="Cambria" w:hAnsi="Cambria"/>
                <w:i/>
              </w:rPr>
              <w:t>Examples: slogans,  standard talking points for all informal and formal presentations</w:t>
            </w:r>
          </w:p>
        </w:tc>
        <w:tc>
          <w:tcPr>
            <w:tcW w:w="2934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F2DBDB" w:themeFill="accent2" w:themeFillTint="33"/>
          </w:tcPr>
          <w:p w:rsidR="00710961" w:rsidRPr="00710961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  <w:tr w:rsidR="00710961" w:rsidRPr="00710961" w:rsidTr="00710961">
        <w:tc>
          <w:tcPr>
            <w:tcW w:w="3654" w:type="dxa"/>
            <w:shd w:val="clear" w:color="auto" w:fill="E5B8B7" w:themeFill="accent2" w:themeFillTint="66"/>
          </w:tcPr>
          <w:p w:rsidR="00710961" w:rsidRPr="00710961" w:rsidRDefault="00710961" w:rsidP="00710961">
            <w:pPr>
              <w:rPr>
                <w:rFonts w:ascii="Cambria" w:hAnsi="Cambria"/>
                <w:b/>
              </w:rPr>
            </w:pPr>
            <w:r w:rsidRPr="00710961">
              <w:rPr>
                <w:rFonts w:ascii="Cambria" w:hAnsi="Cambria"/>
                <w:b/>
              </w:rPr>
              <w:t>Audience</w:t>
            </w:r>
          </w:p>
          <w:p w:rsidR="00710961" w:rsidRPr="00710961" w:rsidRDefault="00710961" w:rsidP="00710961">
            <w:pPr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 xml:space="preserve">Targeted audiences, including individuals from non-dominant groups, are understood and their interests are reflected in products and services. </w:t>
            </w:r>
            <w:r w:rsidRPr="009A61B5">
              <w:rPr>
                <w:rFonts w:ascii="Cambria" w:hAnsi="Cambria"/>
                <w:i/>
              </w:rPr>
              <w:t>Examples: families, EI providers, advocates, attorneys, advisory groups</w:t>
            </w:r>
          </w:p>
        </w:tc>
        <w:tc>
          <w:tcPr>
            <w:tcW w:w="2934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F2DBDB" w:themeFill="accent2" w:themeFillTint="33"/>
          </w:tcPr>
          <w:p w:rsidR="00710961" w:rsidRPr="00710961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  <w:tr w:rsidR="00710961" w:rsidRPr="00710961" w:rsidTr="00710961">
        <w:tc>
          <w:tcPr>
            <w:tcW w:w="3654" w:type="dxa"/>
            <w:shd w:val="clear" w:color="auto" w:fill="E5B8B7" w:themeFill="accent2" w:themeFillTint="66"/>
          </w:tcPr>
          <w:p w:rsidR="00710961" w:rsidRPr="00710961" w:rsidRDefault="00710961" w:rsidP="00710961">
            <w:pPr>
              <w:rPr>
                <w:rFonts w:ascii="Cambria" w:hAnsi="Cambria"/>
                <w:b/>
              </w:rPr>
            </w:pPr>
            <w:r w:rsidRPr="00710961">
              <w:rPr>
                <w:rFonts w:ascii="Cambria" w:hAnsi="Cambria"/>
                <w:b/>
              </w:rPr>
              <w:t>Materials &amp; Delivery Mechanisms</w:t>
            </w:r>
          </w:p>
          <w:p w:rsidR="00710961" w:rsidRPr="00710961" w:rsidRDefault="00710961" w:rsidP="00710961">
            <w:pPr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 xml:space="preserve">Materials are available in multiple formats and various delivery mechanisms are used to disseminate information (e.g., website, brochures, videos, presentations to various stakeholder groups, electronic announcements). </w:t>
            </w:r>
            <w:r w:rsidRPr="009A61B5">
              <w:rPr>
                <w:rFonts w:ascii="Cambria" w:hAnsi="Cambria"/>
                <w:i/>
              </w:rPr>
              <w:t>Examples: brochures, FAQs, website, videos, presentations at various meetings and conferences</w:t>
            </w:r>
          </w:p>
        </w:tc>
        <w:tc>
          <w:tcPr>
            <w:tcW w:w="2934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F2DBDB" w:themeFill="accent2" w:themeFillTint="33"/>
          </w:tcPr>
          <w:p w:rsidR="00710961" w:rsidRPr="00710961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F2DBDB" w:themeFill="accent2" w:themeFillTint="33"/>
            <w:vAlign w:val="center"/>
          </w:tcPr>
          <w:p w:rsidR="00710961" w:rsidRPr="00710961" w:rsidRDefault="00710961" w:rsidP="00710961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</w:tbl>
    <w:p w:rsidR="00710961" w:rsidRDefault="00710961" w:rsidP="00B74295"/>
    <w:p w:rsidR="00710961" w:rsidRDefault="007109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2934"/>
        <w:gridCol w:w="5400"/>
        <w:gridCol w:w="2628"/>
      </w:tblGrid>
      <w:tr w:rsidR="00CE345C" w:rsidRPr="00BA1DD8" w:rsidTr="00CE345C">
        <w:trPr>
          <w:trHeight w:val="576"/>
        </w:trPr>
        <w:tc>
          <w:tcPr>
            <w:tcW w:w="14616" w:type="dxa"/>
            <w:gridSpan w:val="4"/>
            <w:shd w:val="clear" w:color="auto" w:fill="B6DDE8" w:themeFill="accent5" w:themeFillTint="66"/>
            <w:vAlign w:val="center"/>
          </w:tcPr>
          <w:p w:rsidR="00CE345C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9A61B5">
              <w:rPr>
                <w:rFonts w:ascii="Cambria" w:hAnsi="Cambria"/>
                <w:b/>
                <w:i/>
              </w:rPr>
              <w:lastRenderedPageBreak/>
              <w:t>Evaluation &amp; CQI</w:t>
            </w:r>
          </w:p>
        </w:tc>
      </w:tr>
      <w:tr w:rsidR="00710961" w:rsidRPr="00BA1DD8" w:rsidTr="00CE345C">
        <w:tc>
          <w:tcPr>
            <w:tcW w:w="3654" w:type="dxa"/>
            <w:shd w:val="clear" w:color="auto" w:fill="B6DDE8" w:themeFill="accent5" w:themeFillTint="66"/>
          </w:tcPr>
          <w:p w:rsidR="00710961" w:rsidRPr="009A61B5" w:rsidRDefault="00710961" w:rsidP="00710961">
            <w:pPr>
              <w:rPr>
                <w:rFonts w:ascii="Cambria" w:hAnsi="Cambria"/>
                <w:b/>
              </w:rPr>
            </w:pPr>
            <w:r w:rsidRPr="009A61B5">
              <w:rPr>
                <w:rFonts w:ascii="Cambria" w:hAnsi="Cambria"/>
                <w:b/>
              </w:rPr>
              <w:t>Process Evaluation</w:t>
            </w:r>
          </w:p>
          <w:p w:rsidR="00710961" w:rsidRPr="00BA1DD8" w:rsidRDefault="00710961" w:rsidP="00710961">
            <w:pPr>
              <w:rPr>
                <w:rFonts w:ascii="Cambria" w:hAnsi="Cambria"/>
              </w:rPr>
            </w:pPr>
            <w:r w:rsidRPr="00BA1DD8">
              <w:rPr>
                <w:rFonts w:ascii="Cambria" w:hAnsi="Cambria"/>
              </w:rPr>
              <w:t xml:space="preserve">Process effectiveness is evaluated and monitored. </w:t>
            </w:r>
            <w:r w:rsidRPr="00CE345C">
              <w:rPr>
                <w:rFonts w:ascii="Cambria" w:hAnsi="Cambria"/>
                <w:i/>
              </w:rPr>
              <w:t>Examples: surveys completed by participants, mediators, hearing officer, etc., timelines</w:t>
            </w:r>
          </w:p>
        </w:tc>
        <w:tc>
          <w:tcPr>
            <w:tcW w:w="2934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:rsidR="00710961" w:rsidRPr="00BA1DD8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  <w:tr w:rsidR="00710961" w:rsidRPr="00BA1DD8" w:rsidTr="00CE345C">
        <w:tc>
          <w:tcPr>
            <w:tcW w:w="3654" w:type="dxa"/>
            <w:shd w:val="clear" w:color="auto" w:fill="B6DDE8" w:themeFill="accent5" w:themeFillTint="66"/>
          </w:tcPr>
          <w:p w:rsidR="00710961" w:rsidRPr="009A61B5" w:rsidRDefault="00710961" w:rsidP="00710961">
            <w:pPr>
              <w:rPr>
                <w:rFonts w:ascii="Cambria" w:hAnsi="Cambria"/>
                <w:b/>
              </w:rPr>
            </w:pPr>
            <w:r w:rsidRPr="009A61B5">
              <w:rPr>
                <w:rFonts w:ascii="Cambria" w:hAnsi="Cambria"/>
                <w:b/>
              </w:rPr>
              <w:t>Evaluation of Mediators, Hearing Officers and Dispute Resolution Personnel</w:t>
            </w:r>
          </w:p>
          <w:p w:rsidR="00710961" w:rsidRPr="00BA1DD8" w:rsidRDefault="00710961" w:rsidP="00710961">
            <w:pPr>
              <w:rPr>
                <w:rFonts w:ascii="Cambria" w:hAnsi="Cambria"/>
              </w:rPr>
            </w:pPr>
            <w:r w:rsidRPr="00BA1DD8">
              <w:rPr>
                <w:rFonts w:ascii="Cambria" w:hAnsi="Cambria"/>
              </w:rPr>
              <w:t>Mediators, hearing officers and dispute resolution personnel are evaluated for effectiveness so that leadership can monitor adherence to standards of practice and provide ongoing support to ensure prac</w:t>
            </w:r>
            <w:r w:rsidR="00CE345C">
              <w:rPr>
                <w:rFonts w:ascii="Cambria" w:hAnsi="Cambria"/>
              </w:rPr>
              <w:t xml:space="preserve">tices align with expectations. </w:t>
            </w:r>
            <w:r w:rsidR="00CE345C" w:rsidRPr="00CE345C">
              <w:rPr>
                <w:rFonts w:ascii="Cambria" w:hAnsi="Cambria"/>
                <w:i/>
              </w:rPr>
              <w:t xml:space="preserve">Examples: </w:t>
            </w:r>
            <w:r w:rsidRPr="00CE345C">
              <w:rPr>
                <w:rFonts w:ascii="Cambria" w:hAnsi="Cambria"/>
                <w:i/>
              </w:rPr>
              <w:t>expert review of decisions, self-assessments, observations</w:t>
            </w:r>
          </w:p>
        </w:tc>
        <w:tc>
          <w:tcPr>
            <w:tcW w:w="2934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:rsidR="00710961" w:rsidRPr="00BA1DD8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  <w:tr w:rsidR="00710961" w:rsidRPr="00BA1DD8" w:rsidTr="00CE345C">
        <w:tc>
          <w:tcPr>
            <w:tcW w:w="3654" w:type="dxa"/>
            <w:shd w:val="clear" w:color="auto" w:fill="B6DDE8" w:themeFill="accent5" w:themeFillTint="66"/>
          </w:tcPr>
          <w:p w:rsidR="00710961" w:rsidRPr="009A61B5" w:rsidRDefault="00710961" w:rsidP="00710961">
            <w:pPr>
              <w:rPr>
                <w:rFonts w:ascii="Cambria" w:hAnsi="Cambria"/>
                <w:b/>
              </w:rPr>
            </w:pPr>
            <w:r w:rsidRPr="009A61B5">
              <w:rPr>
                <w:rFonts w:ascii="Cambria" w:hAnsi="Cambria"/>
                <w:b/>
              </w:rPr>
              <w:t>System Use/Outcomes</w:t>
            </w:r>
          </w:p>
          <w:p w:rsidR="00710961" w:rsidRPr="00BA1DD8" w:rsidRDefault="00710961" w:rsidP="00710961">
            <w:pPr>
              <w:rPr>
                <w:rFonts w:ascii="Cambria" w:hAnsi="Cambria"/>
              </w:rPr>
            </w:pPr>
            <w:r w:rsidRPr="00BA1DD8">
              <w:rPr>
                <w:rFonts w:ascii="Cambria" w:hAnsi="Cambria"/>
              </w:rPr>
              <w:t xml:space="preserve">Data on system use and outcomes are compiled, analyzed, and summarized to improve system design and implementation. </w:t>
            </w:r>
            <w:r w:rsidRPr="00CE345C">
              <w:rPr>
                <w:rFonts w:ascii="Cambria" w:hAnsi="Cambria"/>
                <w:i/>
              </w:rPr>
              <w:t>Examples: number of requests, number of withdrawals, number of successful resolutions</w:t>
            </w:r>
          </w:p>
        </w:tc>
        <w:tc>
          <w:tcPr>
            <w:tcW w:w="2934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:rsidR="00710961" w:rsidRPr="00BA1DD8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  <w:tr w:rsidR="00710961" w:rsidRPr="00BA1DD8" w:rsidTr="00CE345C">
        <w:tc>
          <w:tcPr>
            <w:tcW w:w="3654" w:type="dxa"/>
            <w:shd w:val="clear" w:color="auto" w:fill="B6DDE8" w:themeFill="accent5" w:themeFillTint="66"/>
          </w:tcPr>
          <w:p w:rsidR="009A61B5" w:rsidRPr="009A61B5" w:rsidRDefault="009A61B5" w:rsidP="009A61B5">
            <w:pPr>
              <w:rPr>
                <w:rFonts w:ascii="Cambria" w:hAnsi="Cambria"/>
                <w:b/>
              </w:rPr>
            </w:pPr>
            <w:r w:rsidRPr="009A61B5">
              <w:rPr>
                <w:rFonts w:ascii="Cambria" w:hAnsi="Cambria"/>
                <w:b/>
              </w:rPr>
              <w:t>System Improvement</w:t>
            </w:r>
          </w:p>
          <w:p w:rsidR="00710961" w:rsidRPr="00BA1DD8" w:rsidRDefault="009A61B5" w:rsidP="009A61B5">
            <w:pPr>
              <w:rPr>
                <w:rFonts w:ascii="Cambria" w:hAnsi="Cambria"/>
              </w:rPr>
            </w:pPr>
            <w:r w:rsidRPr="009A61B5">
              <w:rPr>
                <w:rFonts w:ascii="Cambria" w:hAnsi="Cambria"/>
              </w:rPr>
              <w:t xml:space="preserve">Data are used to monitor how the system and processes are performing and resulting issues are used to guide improvement activities. </w:t>
            </w:r>
            <w:r w:rsidRPr="00CE345C">
              <w:rPr>
                <w:rFonts w:ascii="Cambria" w:hAnsi="Cambria"/>
                <w:i/>
              </w:rPr>
              <w:t>Examples: data reviewed quarterly by team, website revised to improve access, changes to policies, procedures, training, etc.</w:t>
            </w:r>
          </w:p>
        </w:tc>
        <w:tc>
          <w:tcPr>
            <w:tcW w:w="2934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  <w:tc>
          <w:tcPr>
            <w:tcW w:w="5400" w:type="dxa"/>
            <w:shd w:val="clear" w:color="auto" w:fill="DAEEF3" w:themeFill="accent5" w:themeFillTint="33"/>
          </w:tcPr>
          <w:p w:rsidR="00710961" w:rsidRPr="00BA1DD8" w:rsidRDefault="00710961" w:rsidP="00B74295">
            <w:pPr>
              <w:rPr>
                <w:rFonts w:ascii="Cambria" w:hAnsi="Cambria"/>
              </w:rPr>
            </w:pPr>
          </w:p>
        </w:tc>
        <w:tc>
          <w:tcPr>
            <w:tcW w:w="2628" w:type="dxa"/>
            <w:shd w:val="clear" w:color="auto" w:fill="DAEEF3" w:themeFill="accent5" w:themeFillTint="33"/>
            <w:vAlign w:val="center"/>
          </w:tcPr>
          <w:p w:rsidR="00710961" w:rsidRPr="00BA1DD8" w:rsidRDefault="00CE345C" w:rsidP="00CE345C">
            <w:pPr>
              <w:jc w:val="center"/>
              <w:rPr>
                <w:rFonts w:ascii="Cambria" w:hAnsi="Cambria"/>
              </w:rPr>
            </w:pPr>
            <w:r w:rsidRPr="00710961">
              <w:rPr>
                <w:rFonts w:ascii="Cambria" w:hAnsi="Cambria"/>
              </w:rPr>
              <w:t>1     2     3     4</w:t>
            </w:r>
          </w:p>
        </w:tc>
      </w:tr>
    </w:tbl>
    <w:p w:rsidR="00710961" w:rsidRDefault="00710961" w:rsidP="00B74295"/>
    <w:sectPr w:rsidR="00710961" w:rsidSect="00891094"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A1" w:rsidRDefault="00D06BA1" w:rsidP="00B74295">
      <w:pPr>
        <w:spacing w:after="0" w:line="240" w:lineRule="auto"/>
      </w:pPr>
      <w:r>
        <w:separator/>
      </w:r>
    </w:p>
  </w:endnote>
  <w:endnote w:type="continuationSeparator" w:id="0">
    <w:p w:rsidR="00D06BA1" w:rsidRDefault="00D06BA1" w:rsidP="00B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58" w:rsidRDefault="00F77E58">
    <w:pPr>
      <w:pStyle w:val="Footer"/>
    </w:pPr>
    <w:r>
      <w:rPr>
        <w:noProof/>
      </w:rPr>
      <w:drawing>
        <wp:inline distT="0" distB="0" distL="0" distR="0" wp14:anchorId="727EDDF4" wp14:editId="0815BFEC">
          <wp:extent cx="1024359" cy="3977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RE 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29" cy="40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E58" w:rsidRDefault="00F77E58">
    <w:pPr>
      <w:pStyle w:val="Footer"/>
    </w:pPr>
    <w:r>
      <w:rPr>
        <w:noProof/>
      </w:rPr>
      <w:drawing>
        <wp:inline distT="0" distB="0" distL="0" distR="0">
          <wp:extent cx="1024359" cy="3977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RE 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429" cy="400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A1" w:rsidRDefault="00D06BA1" w:rsidP="00B74295">
      <w:pPr>
        <w:spacing w:after="0" w:line="240" w:lineRule="auto"/>
      </w:pPr>
      <w:r>
        <w:separator/>
      </w:r>
    </w:p>
  </w:footnote>
  <w:footnote w:type="continuationSeparator" w:id="0">
    <w:p w:rsidR="00D06BA1" w:rsidRDefault="00D06BA1" w:rsidP="00B7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0C" w:rsidRPr="00812D0C" w:rsidRDefault="00812D0C" w:rsidP="00F77E58">
    <w:pPr>
      <w:pStyle w:val="Header"/>
      <w:jc w:val="center"/>
      <w:rPr>
        <w:rFonts w:asciiTheme="majorHAnsi" w:hAnsiTheme="majorHAnsi"/>
        <w:b/>
        <w:sz w:val="24"/>
        <w:szCs w:val="24"/>
      </w:rPr>
    </w:pPr>
    <w:r w:rsidRPr="00812D0C">
      <w:rPr>
        <w:rFonts w:asciiTheme="majorHAnsi" w:hAnsiTheme="majorHAnsi"/>
        <w:b/>
        <w:sz w:val="24"/>
        <w:szCs w:val="24"/>
      </w:rPr>
      <w:t>Part C Dispute Resolution Self-Assessment</w:t>
    </w:r>
  </w:p>
  <w:p w:rsidR="00812D0C" w:rsidRPr="00891094" w:rsidRDefault="00812D0C" w:rsidP="00812D0C">
    <w:pPr>
      <w:pStyle w:val="Header"/>
      <w:jc w:val="center"/>
      <w:rPr>
        <w:rFonts w:asciiTheme="majorHAnsi" w:hAnsiTheme="majorHAnsi"/>
        <w:b/>
      </w:rPr>
    </w:pPr>
    <w:r w:rsidRPr="00891094">
      <w:rPr>
        <w:rFonts w:asciiTheme="majorHAnsi" w:hAnsiTheme="majorHAnsi"/>
        <w:b/>
      </w:rPr>
      <w:t>State Name _______________________________                                                                  Date: _____________________</w:t>
    </w:r>
  </w:p>
  <w:p w:rsidR="007D7DA5" w:rsidRPr="007D7DA5" w:rsidRDefault="007D7DA5" w:rsidP="00812D0C">
    <w:pPr>
      <w:pStyle w:val="Header"/>
      <w:jc w:val="center"/>
      <w:rPr>
        <w:rFonts w:asciiTheme="majorHAnsi" w:hAnsiTheme="majorHAnsi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95"/>
    <w:rsid w:val="00150968"/>
    <w:rsid w:val="003525C4"/>
    <w:rsid w:val="00355E13"/>
    <w:rsid w:val="005E2DE1"/>
    <w:rsid w:val="00710961"/>
    <w:rsid w:val="007D7DA5"/>
    <w:rsid w:val="00811E92"/>
    <w:rsid w:val="00812D0C"/>
    <w:rsid w:val="00891094"/>
    <w:rsid w:val="009A61B5"/>
    <w:rsid w:val="00B3318A"/>
    <w:rsid w:val="00B74295"/>
    <w:rsid w:val="00B82FB1"/>
    <w:rsid w:val="00BA1DD8"/>
    <w:rsid w:val="00CE345C"/>
    <w:rsid w:val="00CE3D4E"/>
    <w:rsid w:val="00D06BA1"/>
    <w:rsid w:val="00D2273E"/>
    <w:rsid w:val="00DA4AFF"/>
    <w:rsid w:val="00E0683A"/>
    <w:rsid w:val="00F26788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95"/>
  </w:style>
  <w:style w:type="paragraph" w:styleId="Footer">
    <w:name w:val="footer"/>
    <w:basedOn w:val="Normal"/>
    <w:link w:val="FooterChar"/>
    <w:uiPriority w:val="99"/>
    <w:unhideWhenUsed/>
    <w:rsid w:val="00B7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95"/>
  </w:style>
  <w:style w:type="paragraph" w:styleId="BalloonText">
    <w:name w:val="Balloon Text"/>
    <w:basedOn w:val="Normal"/>
    <w:link w:val="BalloonTextChar"/>
    <w:uiPriority w:val="99"/>
    <w:semiHidden/>
    <w:unhideWhenUsed/>
    <w:rsid w:val="00B7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95"/>
  </w:style>
  <w:style w:type="paragraph" w:styleId="Footer">
    <w:name w:val="footer"/>
    <w:basedOn w:val="Normal"/>
    <w:link w:val="FooterChar"/>
    <w:uiPriority w:val="99"/>
    <w:unhideWhenUsed/>
    <w:rsid w:val="00B74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95"/>
  </w:style>
  <w:style w:type="paragraph" w:styleId="BalloonText">
    <w:name w:val="Balloon Text"/>
    <w:basedOn w:val="Normal"/>
    <w:link w:val="BalloonTextChar"/>
    <w:uiPriority w:val="99"/>
    <w:semiHidden/>
    <w:unhideWhenUsed/>
    <w:rsid w:val="00B7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D93EE09FE48B755B103E8699EE0" ma:contentTypeVersion="16" ma:contentTypeDescription="Create a new document." ma:contentTypeScope="" ma:versionID="c301ea57d9cec4f14d8416a6dd251d11">
  <xsd:schema xmlns:xsd="http://www.w3.org/2001/XMLSchema" xmlns:xs="http://www.w3.org/2001/XMLSchema" xmlns:p="http://schemas.microsoft.com/office/2006/metadata/properties" xmlns:ns2="db903174-bb1c-4609-9d70-465268ead536" xmlns:ns3="d0cbbd92-a969-402e-8621-447322a11182" targetNamespace="http://schemas.microsoft.com/office/2006/metadata/properties" ma:root="true" ma:fieldsID="4f17cf8a0d836c3494766366d08c96ee" ns2:_="" ns3:_="">
    <xsd:import namespace="db903174-bb1c-4609-9d70-465268ead536"/>
    <xsd:import namespace="d0cbbd92-a969-402e-8621-447322a11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03174-bb1c-4609-9d70-465268ead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bd92-a969-402e-8621-447322a11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b6dc5-7623-4a1d-a01d-748b8cf9f295}" ma:internalName="TaxCatchAll" ma:showField="CatchAllData" ma:web="d0cbbd92-a969-402e-8621-447322a11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bbd92-a969-402e-8621-447322a11182" xsi:nil="true"/>
  </documentManagement>
</p:properties>
</file>

<file path=customXml/itemProps1.xml><?xml version="1.0" encoding="utf-8"?>
<ds:datastoreItem xmlns:ds="http://schemas.openxmlformats.org/officeDocument/2006/customXml" ds:itemID="{B55C7EEB-57B2-4093-B0C0-735D0707540A}"/>
</file>

<file path=customXml/itemProps2.xml><?xml version="1.0" encoding="utf-8"?>
<ds:datastoreItem xmlns:ds="http://schemas.openxmlformats.org/officeDocument/2006/customXml" ds:itemID="{339C816A-D879-4325-AE4C-2D4BF6005AAC}"/>
</file>

<file path=customXml/itemProps3.xml><?xml version="1.0" encoding="utf-8"?>
<ds:datastoreItem xmlns:ds="http://schemas.openxmlformats.org/officeDocument/2006/customXml" ds:itemID="{F170FB45-19B4-40A7-8648-0ECB46AD8D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Rinehart</dc:creator>
  <cp:lastModifiedBy>Kelly Rauscher</cp:lastModifiedBy>
  <cp:revision>2</cp:revision>
  <dcterms:created xsi:type="dcterms:W3CDTF">2019-09-09T16:11:00Z</dcterms:created>
  <dcterms:modified xsi:type="dcterms:W3CDTF">2019-09-09T16:11:00Z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0x01010090E45D93EE09FE48B755B103E8699EE0</vt:lpwstr>
  </property>
</Properties>
</file>